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44F" w:rsidRDefault="0096444F" w:rsidP="00FA6E6E">
      <w:pPr>
        <w:spacing w:line="276" w:lineRule="auto"/>
        <w:ind w:left="6372"/>
        <w:jc w:val="both"/>
      </w:pPr>
      <w:r w:rsidRPr="007D4895">
        <w:t>Приложение №1 к договору</w:t>
      </w:r>
    </w:p>
    <w:p w:rsidR="00FA6E6E" w:rsidRDefault="0096444F" w:rsidP="00FA6E6E">
      <w:pPr>
        <w:spacing w:line="276" w:lineRule="auto"/>
        <w:ind w:left="6372"/>
        <w:jc w:val="both"/>
      </w:pPr>
      <w:r>
        <w:t>№________________</w:t>
      </w:r>
    </w:p>
    <w:p w:rsidR="0096444F" w:rsidRPr="007D4895" w:rsidRDefault="00DF6BAF" w:rsidP="00FA6E6E">
      <w:pPr>
        <w:spacing w:line="276" w:lineRule="auto"/>
        <w:ind w:left="6372"/>
        <w:jc w:val="both"/>
      </w:pPr>
      <w:r>
        <w:t>о</w:t>
      </w:r>
      <w:r w:rsidR="0096444F">
        <w:t>т</w:t>
      </w:r>
      <w:r w:rsidR="00FA6E6E">
        <w:t xml:space="preserve"> «</w:t>
      </w:r>
      <w:r w:rsidR="00B367F1">
        <w:t>___</w:t>
      </w:r>
      <w:r w:rsidR="0096444F">
        <w:t>_</w:t>
      </w:r>
      <w:r w:rsidR="00E008C2">
        <w:t>»________2018</w:t>
      </w:r>
      <w:r w:rsidR="00FA6E6E">
        <w:t xml:space="preserve"> г.</w:t>
      </w:r>
    </w:p>
    <w:p w:rsidR="0096444F" w:rsidRDefault="0096444F" w:rsidP="0096444F">
      <w:pPr>
        <w:jc w:val="center"/>
        <w:rPr>
          <w:szCs w:val="20"/>
        </w:rPr>
      </w:pPr>
    </w:p>
    <w:p w:rsidR="0096444F" w:rsidRPr="00A87C9A" w:rsidRDefault="0096444F" w:rsidP="00DF6BAF">
      <w:pPr>
        <w:jc w:val="both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7B7202">
        <w:rPr>
          <w:szCs w:val="20"/>
        </w:rPr>
        <w:tab/>
      </w:r>
      <w:r w:rsidR="007B7202">
        <w:rPr>
          <w:szCs w:val="20"/>
        </w:rPr>
        <w:tab/>
      </w:r>
    </w:p>
    <w:p w:rsidR="0096444F" w:rsidRDefault="0096444F" w:rsidP="0096444F">
      <w:pPr>
        <w:jc w:val="center"/>
        <w:rPr>
          <w:b/>
          <w:szCs w:val="20"/>
        </w:rPr>
      </w:pPr>
      <w:r w:rsidRPr="00A87C9A">
        <w:rPr>
          <w:b/>
          <w:szCs w:val="20"/>
        </w:rPr>
        <w:t>Техническое задание по выполнению работы</w:t>
      </w:r>
    </w:p>
    <w:p w:rsidR="00946F5E" w:rsidRPr="00A87C9A" w:rsidRDefault="00946F5E" w:rsidP="0096444F">
      <w:pPr>
        <w:jc w:val="center"/>
        <w:rPr>
          <w:b/>
          <w:szCs w:val="20"/>
        </w:rPr>
      </w:pPr>
    </w:p>
    <w:p w:rsidR="00DD08AD" w:rsidRPr="00E361AA" w:rsidRDefault="00DD08AD" w:rsidP="00DD08AD">
      <w:pPr>
        <w:jc w:val="center"/>
        <w:rPr>
          <w:b/>
          <w:i/>
        </w:rPr>
      </w:pPr>
      <w:r w:rsidRPr="00946F5E">
        <w:rPr>
          <w:b/>
          <w:i/>
        </w:rPr>
        <w:t>«</w:t>
      </w:r>
      <w:r w:rsidR="00E47CE2">
        <w:rPr>
          <w:b/>
          <w:i/>
        </w:rPr>
        <w:t>Оказание услуг по у</w:t>
      </w:r>
      <w:r w:rsidR="007B7202">
        <w:rPr>
          <w:b/>
          <w:i/>
        </w:rPr>
        <w:t>части</w:t>
      </w:r>
      <w:r w:rsidR="00E47CE2">
        <w:rPr>
          <w:b/>
          <w:i/>
        </w:rPr>
        <w:t>ю</w:t>
      </w:r>
      <w:r w:rsidR="007B7202">
        <w:rPr>
          <w:b/>
          <w:i/>
        </w:rPr>
        <w:t xml:space="preserve"> в межлабораторных сравнительных испытаниях (МСИ)</w:t>
      </w:r>
      <w:r w:rsidR="00EE37EC">
        <w:rPr>
          <w:b/>
          <w:i/>
        </w:rPr>
        <w:t xml:space="preserve"> </w:t>
      </w:r>
      <w:r w:rsidR="00EF6469">
        <w:rPr>
          <w:b/>
          <w:i/>
        </w:rPr>
        <w:t>испытательной лаборатории нефтепродуктов ЦЗЛ ОАО «</w:t>
      </w:r>
      <w:proofErr w:type="spellStart"/>
      <w:r w:rsidR="00EF6469">
        <w:rPr>
          <w:b/>
          <w:i/>
        </w:rPr>
        <w:t>Славнефть</w:t>
      </w:r>
      <w:proofErr w:type="spellEnd"/>
      <w:r w:rsidR="00EF6469">
        <w:rPr>
          <w:b/>
          <w:i/>
        </w:rPr>
        <w:t>-ЯНОС» с целью подтверждения ее квалификации</w:t>
      </w:r>
      <w:r w:rsidRPr="00946F5E">
        <w:rPr>
          <w:b/>
          <w:i/>
        </w:rPr>
        <w:t>».</w:t>
      </w:r>
    </w:p>
    <w:p w:rsidR="00DD08AD" w:rsidRPr="002664C7" w:rsidRDefault="00DD08AD" w:rsidP="00DD08AD">
      <w:pPr>
        <w:jc w:val="center"/>
      </w:pPr>
    </w:p>
    <w:p w:rsidR="007856DC" w:rsidRPr="004D25C2" w:rsidRDefault="007A2FA1" w:rsidP="007A2FA1">
      <w:pPr>
        <w:ind w:firstLine="708"/>
        <w:jc w:val="both"/>
        <w:rPr>
          <w:color w:val="000000"/>
        </w:rPr>
      </w:pPr>
      <w:r>
        <w:t xml:space="preserve">1. </w:t>
      </w:r>
      <w:r w:rsidR="007856DC" w:rsidRPr="004D25C2">
        <w:rPr>
          <w:color w:val="000000"/>
        </w:rPr>
        <w:t>В область деятельности провайдера должны быть включены следующие объекты</w:t>
      </w:r>
      <w:bookmarkStart w:id="0" w:name="_GoBack"/>
      <w:bookmarkEnd w:id="0"/>
      <w:r w:rsidR="007856DC" w:rsidRPr="004D25C2">
        <w:rPr>
          <w:color w:val="000000"/>
        </w:rPr>
        <w:t xml:space="preserve"> МСИ: нефть, </w:t>
      </w:r>
      <w:r w:rsidR="00E008C2" w:rsidRPr="004D25C2">
        <w:rPr>
          <w:color w:val="000000"/>
        </w:rPr>
        <w:t>бензин автомобильный</w:t>
      </w:r>
      <w:r w:rsidR="00E008C2">
        <w:rPr>
          <w:color w:val="000000"/>
        </w:rPr>
        <w:t>,</w:t>
      </w:r>
      <w:r w:rsidR="00E008C2" w:rsidRPr="004D25C2">
        <w:rPr>
          <w:color w:val="000000"/>
        </w:rPr>
        <w:t xml:space="preserve"> топливо </w:t>
      </w:r>
      <w:r w:rsidR="007856DC" w:rsidRPr="004D25C2">
        <w:rPr>
          <w:color w:val="000000"/>
        </w:rPr>
        <w:t xml:space="preserve">дизельное, </w:t>
      </w:r>
      <w:r w:rsidR="00E008C2" w:rsidRPr="004D25C2">
        <w:rPr>
          <w:color w:val="000000"/>
        </w:rPr>
        <w:t>топливо для реактивных двигателей</w:t>
      </w:r>
      <w:r w:rsidR="007856DC" w:rsidRPr="004D25C2">
        <w:rPr>
          <w:color w:val="000000"/>
        </w:rPr>
        <w:t xml:space="preserve">, мазут, </w:t>
      </w:r>
      <w:r w:rsidR="00E008C2">
        <w:rPr>
          <w:color w:val="000000"/>
        </w:rPr>
        <w:t xml:space="preserve"> масла смазочные, битум.</w:t>
      </w:r>
    </w:p>
    <w:p w:rsidR="00E008C2" w:rsidRPr="00E008C2" w:rsidRDefault="007A2FA1" w:rsidP="00E008C2">
      <w:pPr>
        <w:pStyle w:val="a8"/>
        <w:ind w:firstLine="708"/>
        <w:jc w:val="both"/>
        <w:rPr>
          <w:color w:val="000000"/>
        </w:rPr>
      </w:pPr>
      <w:r>
        <w:t xml:space="preserve">2. </w:t>
      </w:r>
      <w:r w:rsidR="00E008C2" w:rsidRPr="00E008C2">
        <w:rPr>
          <w:color w:val="000000"/>
        </w:rPr>
        <w:t>Методы испытаний должны соответствовать методам, заявленным лабораторией.</w:t>
      </w:r>
    </w:p>
    <w:p w:rsidR="00E008C2" w:rsidRPr="00E008C2" w:rsidRDefault="00E008C2" w:rsidP="00E008C2">
      <w:pPr>
        <w:pStyle w:val="a8"/>
        <w:jc w:val="both"/>
        <w:rPr>
          <w:color w:val="000000"/>
        </w:rPr>
      </w:pPr>
      <w:r w:rsidRPr="00E008C2">
        <w:rPr>
          <w:color w:val="000000"/>
        </w:rPr>
        <w:t>Необходимо наличие инструкции по проведению испытаний (подробные документируемые инструкции по проведению испытаний: условия хранения образцов контроля (</w:t>
      </w:r>
      <w:proofErr w:type="gramStart"/>
      <w:r w:rsidRPr="00E008C2">
        <w:rPr>
          <w:color w:val="000000"/>
        </w:rPr>
        <w:t>ОК</w:t>
      </w:r>
      <w:proofErr w:type="gramEnd"/>
      <w:r w:rsidRPr="00E008C2">
        <w:rPr>
          <w:color w:val="000000"/>
        </w:rPr>
        <w:t xml:space="preserve">), природу материала, диапазоны значений определяемых показателей, время проведения испытаний, время перемешивания ОК для получения </w:t>
      </w:r>
      <w:proofErr w:type="spellStart"/>
      <w:r w:rsidRPr="00E008C2">
        <w:rPr>
          <w:color w:val="000000"/>
        </w:rPr>
        <w:t>внутриэкземплярной</w:t>
      </w:r>
      <w:proofErr w:type="spellEnd"/>
      <w:r w:rsidRPr="00E008C2">
        <w:rPr>
          <w:color w:val="000000"/>
        </w:rPr>
        <w:t xml:space="preserve"> однородности, выбор методов испытаний, порядок определения показателей (для комплексных ОК состава и свойств).</w:t>
      </w:r>
    </w:p>
    <w:p w:rsidR="00E008C2" w:rsidRDefault="007A2FA1" w:rsidP="00E008C2">
      <w:pPr>
        <w:pStyle w:val="a8"/>
        <w:ind w:firstLine="708"/>
        <w:jc w:val="both"/>
        <w:rPr>
          <w:color w:val="000000"/>
        </w:rPr>
      </w:pPr>
      <w:r>
        <w:t>3.</w:t>
      </w:r>
      <w:r w:rsidR="000B58B1" w:rsidRPr="00E743F0">
        <w:t xml:space="preserve"> Образец контроля должен быть расфасован в герметично закрытые банки из стекла. Объем образца </w:t>
      </w:r>
      <w:r w:rsidR="00E008C2">
        <w:t xml:space="preserve">- </w:t>
      </w:r>
      <w:r w:rsidR="000B58B1" w:rsidRPr="00E743F0">
        <w:t xml:space="preserve">в </w:t>
      </w:r>
      <w:r w:rsidR="00E008C2">
        <w:t>указанном количестве.</w:t>
      </w:r>
      <w:r w:rsidR="000B58B1" w:rsidRPr="00E743F0">
        <w:t xml:space="preserve"> </w:t>
      </w:r>
      <w:r w:rsidR="00E008C2" w:rsidRPr="00E008C2">
        <w:rPr>
          <w:color w:val="000000"/>
        </w:rPr>
        <w:t>Доставка образцов транспортной компанией должна быть включена в стоимость договора.</w:t>
      </w:r>
    </w:p>
    <w:p w:rsidR="002E3F8B" w:rsidRPr="002E3F8B" w:rsidRDefault="002E3F8B" w:rsidP="002E3F8B">
      <w:pPr>
        <w:pStyle w:val="a8"/>
        <w:ind w:firstLine="708"/>
        <w:jc w:val="both"/>
        <w:rPr>
          <w:color w:val="000000"/>
        </w:rPr>
      </w:pPr>
      <w:r>
        <w:rPr>
          <w:color w:val="000000"/>
        </w:rPr>
        <w:t xml:space="preserve">4. </w:t>
      </w:r>
      <w:r w:rsidRPr="002E3F8B">
        <w:rPr>
          <w:color w:val="000000"/>
        </w:rPr>
        <w:t xml:space="preserve">Проведение проверки квалификации лаборатории без заполнения форм протоколов на сайте Провайдера. Протоколы испытаний отправляются Провайдеру на бумажном носителе по почте (также </w:t>
      </w:r>
      <w:proofErr w:type="gramStart"/>
      <w:r w:rsidRPr="002E3F8B">
        <w:rPr>
          <w:color w:val="000000"/>
        </w:rPr>
        <w:t>скан-копии</w:t>
      </w:r>
      <w:proofErr w:type="gramEnd"/>
      <w:r w:rsidRPr="002E3F8B">
        <w:rPr>
          <w:color w:val="000000"/>
        </w:rPr>
        <w:t xml:space="preserve"> по электронной почте).</w:t>
      </w:r>
      <w:r>
        <w:rPr>
          <w:color w:val="000000"/>
        </w:rPr>
        <w:t xml:space="preserve"> </w:t>
      </w:r>
      <w:r w:rsidRPr="002E3F8B">
        <w:rPr>
          <w:color w:val="000000"/>
        </w:rPr>
        <w:t>Порядок выполнения работ определяется календарным планом. Срок проведения испытаний от получения образцов до отправки Провайдеру протоколов испытаний не менее 45 дней.</w:t>
      </w:r>
    </w:p>
    <w:p w:rsidR="002E3F8B" w:rsidRPr="002E3F8B" w:rsidRDefault="002E3F8B" w:rsidP="002E3F8B">
      <w:pPr>
        <w:pStyle w:val="a8"/>
        <w:ind w:firstLine="708"/>
        <w:jc w:val="both"/>
        <w:rPr>
          <w:color w:val="000000"/>
        </w:rPr>
      </w:pPr>
      <w:r>
        <w:rPr>
          <w:color w:val="000000"/>
        </w:rPr>
        <w:t xml:space="preserve">5. </w:t>
      </w:r>
      <w:r w:rsidRPr="002E3F8B">
        <w:rPr>
          <w:color w:val="000000"/>
        </w:rPr>
        <w:t xml:space="preserve">Проведение оценки измерительных возможностей по заявленной характеристике погрешности. Если результат испытания превышает указанную характеристику, оценка проводится по </w:t>
      </w:r>
      <w:r w:rsidRPr="002E3F8B">
        <w:rPr>
          <w:color w:val="000000"/>
          <w:lang w:val="en-US"/>
        </w:rPr>
        <w:t>Z</w:t>
      </w:r>
      <w:r w:rsidRPr="002E3F8B">
        <w:rPr>
          <w:color w:val="000000"/>
        </w:rPr>
        <w:t>-индексу.</w:t>
      </w:r>
      <w:r>
        <w:rPr>
          <w:color w:val="000000"/>
        </w:rPr>
        <w:t xml:space="preserve"> </w:t>
      </w:r>
      <w:r w:rsidRPr="002E3F8B">
        <w:rPr>
          <w:color w:val="000000"/>
        </w:rPr>
        <w:t>Оказание бесплатных услуг по телефону и/или электронной почте по вопросам, возникающим при выполнении испытаний.</w:t>
      </w:r>
    </w:p>
    <w:p w:rsidR="000B58B1" w:rsidRPr="00E743F0" w:rsidRDefault="002E3F8B" w:rsidP="007A2FA1">
      <w:pPr>
        <w:ind w:firstLine="708"/>
        <w:jc w:val="both"/>
      </w:pPr>
      <w:r>
        <w:t>6</w:t>
      </w:r>
      <w:r w:rsidR="007A2FA1">
        <w:t>.</w:t>
      </w:r>
      <w:r w:rsidR="007856DC" w:rsidRPr="00E743F0">
        <w:t xml:space="preserve"> Перечень показателей</w:t>
      </w:r>
      <w:r w:rsidR="000B58B1" w:rsidRPr="00E743F0">
        <w:t xml:space="preserve"> для проверки качества испытаний:</w:t>
      </w:r>
    </w:p>
    <w:p w:rsidR="007856DC" w:rsidRPr="00EB2168" w:rsidRDefault="00E743F0" w:rsidP="007856DC">
      <w:pPr>
        <w:jc w:val="both"/>
        <w:rPr>
          <w:b/>
          <w:u w:val="single"/>
        </w:rPr>
      </w:pPr>
      <w:r w:rsidRPr="00EB2168">
        <w:rPr>
          <w:b/>
          <w:u w:val="single"/>
        </w:rPr>
        <w:t>Нефть:</w:t>
      </w:r>
    </w:p>
    <w:p w:rsidR="00E743F0" w:rsidRPr="00737166" w:rsidRDefault="000F1561" w:rsidP="00E743F0">
      <w:r>
        <w:t>Плотность при 15°</w:t>
      </w:r>
      <w:r w:rsidR="00E743F0" w:rsidRPr="00737166">
        <w:t>С</w:t>
      </w:r>
      <w:r w:rsidR="00E743F0">
        <w:t xml:space="preserve"> по</w:t>
      </w:r>
      <w:r>
        <w:t xml:space="preserve"> ГОСТ </w:t>
      </w:r>
      <w:proofErr w:type="gramStart"/>
      <w:r>
        <w:t>Р</w:t>
      </w:r>
      <w:proofErr w:type="gramEnd"/>
      <w:r>
        <w:t xml:space="preserve"> 51069</w:t>
      </w:r>
      <w:r w:rsidR="00690525">
        <w:t xml:space="preserve"> с оценкой измерительных возможностей</w:t>
      </w:r>
    </w:p>
    <w:p w:rsidR="00E743F0" w:rsidRPr="00737166" w:rsidRDefault="00E743F0" w:rsidP="00E743F0">
      <w:pPr>
        <w:jc w:val="both"/>
      </w:pPr>
      <w:r w:rsidRPr="00737166">
        <w:t xml:space="preserve">Массовая доля серы </w:t>
      </w:r>
      <w:r w:rsidR="0071365A">
        <w:t xml:space="preserve">по </w:t>
      </w:r>
      <w:r w:rsidRPr="00737166">
        <w:t xml:space="preserve">ГОСТ </w:t>
      </w:r>
      <w:proofErr w:type="gramStart"/>
      <w:r w:rsidR="000F1561">
        <w:t>Р</w:t>
      </w:r>
      <w:proofErr w:type="gramEnd"/>
      <w:r w:rsidR="000F1561">
        <w:t xml:space="preserve"> </w:t>
      </w:r>
      <w:r w:rsidRPr="00737166">
        <w:t>51947</w:t>
      </w:r>
    </w:p>
    <w:p w:rsidR="000F1561" w:rsidRDefault="000F1561" w:rsidP="000F1561">
      <w:r>
        <w:t>Массовая концентрация хлористых солей по ГОСТ 21534 Метод</w:t>
      </w:r>
      <w:proofErr w:type="gramStart"/>
      <w:r>
        <w:t xml:space="preserve"> А</w:t>
      </w:r>
      <w:proofErr w:type="gramEnd"/>
    </w:p>
    <w:p w:rsidR="000F1561" w:rsidRPr="00737166" w:rsidRDefault="000F1561" w:rsidP="000F1561">
      <w:r>
        <w:t>Массовая доля воды по</w:t>
      </w:r>
      <w:r w:rsidRPr="00737166">
        <w:t xml:space="preserve"> ГОСТ 2477</w:t>
      </w:r>
    </w:p>
    <w:p w:rsidR="000F1561" w:rsidRDefault="000F1561" w:rsidP="00E743F0">
      <w:pPr>
        <w:jc w:val="both"/>
      </w:pPr>
      <w:r>
        <w:t>Массовая доля мети</w:t>
      </w:r>
      <w:proofErr w:type="gramStart"/>
      <w:r>
        <w:t>л-</w:t>
      </w:r>
      <w:proofErr w:type="gramEnd"/>
      <w:r>
        <w:t xml:space="preserve"> и </w:t>
      </w:r>
      <w:proofErr w:type="spellStart"/>
      <w:r>
        <w:t>этилмеркаптанов</w:t>
      </w:r>
      <w:proofErr w:type="spellEnd"/>
      <w:r>
        <w:t xml:space="preserve"> по ГОСТ Р 50802</w:t>
      </w:r>
    </w:p>
    <w:p w:rsidR="000F1561" w:rsidRPr="00737166" w:rsidRDefault="000F1561" w:rsidP="00E743F0">
      <w:pPr>
        <w:jc w:val="both"/>
      </w:pPr>
      <w:r>
        <w:t>Фракционный состав по ГОСТ 2177</w:t>
      </w:r>
    </w:p>
    <w:p w:rsidR="000F1561" w:rsidRPr="00EB2168" w:rsidRDefault="00E743F0" w:rsidP="00E743F0">
      <w:pPr>
        <w:tabs>
          <w:tab w:val="left" w:pos="6190"/>
        </w:tabs>
        <w:jc w:val="both"/>
        <w:rPr>
          <w:b/>
          <w:u w:val="single"/>
        </w:rPr>
      </w:pPr>
      <w:r w:rsidRPr="00EB2168">
        <w:rPr>
          <w:b/>
          <w:u w:val="single"/>
        </w:rPr>
        <w:t>Бензин автомобильный:</w:t>
      </w:r>
    </w:p>
    <w:p w:rsidR="000F1561" w:rsidRDefault="000F1561" w:rsidP="00E743F0">
      <w:r>
        <w:t>Состав и свойства бензина автомобильного в части требований технического регламента</w:t>
      </w:r>
    </w:p>
    <w:p w:rsidR="000F1561" w:rsidRPr="0014045C" w:rsidRDefault="0014045C" w:rsidP="00E743F0">
      <w:r>
        <w:t>(с</w:t>
      </w:r>
      <w:r w:rsidR="000F1561">
        <w:t xml:space="preserve"> оценкой измерительных возможностей </w:t>
      </w:r>
      <w:r>
        <w:t xml:space="preserve">ГОСТ </w:t>
      </w:r>
      <w:r>
        <w:rPr>
          <w:lang w:val="en-US"/>
        </w:rPr>
        <w:t>EN</w:t>
      </w:r>
      <w:r w:rsidRPr="0014045C">
        <w:t xml:space="preserve"> </w:t>
      </w:r>
      <w:r>
        <w:t>13132, ГОСТ 32507 Метод Б)</w:t>
      </w:r>
    </w:p>
    <w:p w:rsidR="000F1561" w:rsidRDefault="000F1561" w:rsidP="00E743F0">
      <w:r>
        <w:t>Содержание фактических смол по ГОСТ 32404</w:t>
      </w:r>
    </w:p>
    <w:p w:rsidR="00CF6DEC" w:rsidRDefault="0014045C" w:rsidP="00E743F0">
      <w:pPr>
        <w:tabs>
          <w:tab w:val="left" w:pos="6190"/>
        </w:tabs>
        <w:jc w:val="both"/>
      </w:pPr>
      <w:r>
        <w:t>Индукционный период бензина по ГОСТ 4039</w:t>
      </w:r>
    </w:p>
    <w:p w:rsidR="0014045C" w:rsidRDefault="0014045C" w:rsidP="00E743F0">
      <w:pPr>
        <w:tabs>
          <w:tab w:val="left" w:pos="6190"/>
        </w:tabs>
        <w:jc w:val="both"/>
      </w:pPr>
      <w:r>
        <w:t>Испытание на медной пластинке по ГОСТ 6321</w:t>
      </w:r>
    </w:p>
    <w:p w:rsidR="00E743F0" w:rsidRPr="00EB2168" w:rsidRDefault="00E743F0" w:rsidP="00E743F0">
      <w:pPr>
        <w:tabs>
          <w:tab w:val="left" w:pos="6190"/>
        </w:tabs>
        <w:jc w:val="both"/>
        <w:rPr>
          <w:b/>
          <w:u w:val="single"/>
        </w:rPr>
      </w:pPr>
      <w:r w:rsidRPr="00EB2168">
        <w:rPr>
          <w:b/>
          <w:u w:val="single"/>
        </w:rPr>
        <w:t>Топливо дизельное:</w:t>
      </w:r>
    </w:p>
    <w:p w:rsidR="0014045C" w:rsidRDefault="0014045C" w:rsidP="00E743F0">
      <w:r>
        <w:t>Состав и свойства дизельного топлива в части требований технического регламента</w:t>
      </w:r>
    </w:p>
    <w:p w:rsidR="00C774E1" w:rsidRPr="0014045C" w:rsidRDefault="0014045C" w:rsidP="00E743F0">
      <w:pPr>
        <w:tabs>
          <w:tab w:val="left" w:pos="6190"/>
        </w:tabs>
        <w:jc w:val="both"/>
      </w:pPr>
      <w:r w:rsidRPr="0014045C">
        <w:t xml:space="preserve">Коксуемость (10% </w:t>
      </w:r>
      <w:r>
        <w:t>остатка разгонки) по ГОСТ 19932</w:t>
      </w:r>
      <w:r w:rsidR="00CA5BAD">
        <w:t>,</w:t>
      </w:r>
      <w:r>
        <w:t xml:space="preserve"> </w:t>
      </w:r>
      <w:r>
        <w:rPr>
          <w:lang w:val="en-US"/>
        </w:rPr>
        <w:t>ISO</w:t>
      </w:r>
      <w:r w:rsidRPr="0014045C">
        <w:t xml:space="preserve"> 10370</w:t>
      </w:r>
    </w:p>
    <w:p w:rsidR="0014045C" w:rsidRDefault="0014045C" w:rsidP="00E743F0">
      <w:pPr>
        <w:tabs>
          <w:tab w:val="left" w:pos="6190"/>
        </w:tabs>
        <w:jc w:val="both"/>
      </w:pPr>
      <w:r>
        <w:t xml:space="preserve">Окислительная стабильность по ГОСТ </w:t>
      </w:r>
      <w:proofErr w:type="gramStart"/>
      <w:r>
        <w:t>Р</w:t>
      </w:r>
      <w:proofErr w:type="gramEnd"/>
      <w:r>
        <w:t xml:space="preserve"> ЕН ИСО 12205</w:t>
      </w:r>
    </w:p>
    <w:p w:rsidR="0014045C" w:rsidRPr="0014045C" w:rsidRDefault="0014045C" w:rsidP="00E743F0">
      <w:pPr>
        <w:tabs>
          <w:tab w:val="left" w:pos="6190"/>
        </w:tabs>
        <w:jc w:val="both"/>
      </w:pPr>
      <w:r>
        <w:t xml:space="preserve">Температура помутнения по </w:t>
      </w:r>
      <w:r>
        <w:rPr>
          <w:lang w:val="en-US"/>
        </w:rPr>
        <w:t>EN</w:t>
      </w:r>
      <w:r w:rsidRPr="0014045C">
        <w:t xml:space="preserve"> 23015</w:t>
      </w:r>
    </w:p>
    <w:p w:rsidR="0014045C" w:rsidRDefault="0014045C" w:rsidP="00E743F0">
      <w:pPr>
        <w:tabs>
          <w:tab w:val="left" w:pos="6190"/>
        </w:tabs>
        <w:jc w:val="both"/>
      </w:pPr>
      <w:r>
        <w:t xml:space="preserve">Общее загрязнение по </w:t>
      </w:r>
      <w:r>
        <w:rPr>
          <w:lang w:val="en-US"/>
        </w:rPr>
        <w:t>EN</w:t>
      </w:r>
      <w:r w:rsidRPr="0014045C">
        <w:t xml:space="preserve"> 12662</w:t>
      </w:r>
    </w:p>
    <w:p w:rsidR="00CA5BAD" w:rsidRPr="00CA5BAD" w:rsidRDefault="00CA5BAD" w:rsidP="00E743F0">
      <w:pPr>
        <w:tabs>
          <w:tab w:val="left" w:pos="6190"/>
        </w:tabs>
        <w:jc w:val="both"/>
      </w:pPr>
      <w:r>
        <w:lastRenderedPageBreak/>
        <w:t xml:space="preserve">Коррозия медной пластинки по ГОСТ </w:t>
      </w:r>
      <w:r>
        <w:rPr>
          <w:lang w:val="en-US"/>
        </w:rPr>
        <w:t>ISO</w:t>
      </w:r>
      <w:r w:rsidRPr="00CA5BAD">
        <w:t xml:space="preserve"> 2160</w:t>
      </w:r>
    </w:p>
    <w:p w:rsidR="00EB2168" w:rsidRPr="00EB2168" w:rsidRDefault="00EB2168" w:rsidP="00E743F0">
      <w:pPr>
        <w:tabs>
          <w:tab w:val="left" w:pos="6190"/>
        </w:tabs>
        <w:jc w:val="both"/>
        <w:rPr>
          <w:b/>
          <w:u w:val="single"/>
        </w:rPr>
      </w:pPr>
      <w:r w:rsidRPr="00EB2168">
        <w:rPr>
          <w:b/>
          <w:u w:val="single"/>
        </w:rPr>
        <w:t>Топливо для реактивных двигателей:</w:t>
      </w:r>
    </w:p>
    <w:p w:rsidR="0014045C" w:rsidRDefault="0014045C" w:rsidP="00EB2168">
      <w:r>
        <w:t>Состав и свойства реактивного топлива в части требований технического регламента</w:t>
      </w:r>
    </w:p>
    <w:p w:rsidR="00F06A8D" w:rsidRDefault="00F06A8D" w:rsidP="00EB2168">
      <w:r>
        <w:t>Низшая теплота сгорания по ГОСТ 11065</w:t>
      </w:r>
    </w:p>
    <w:p w:rsidR="00F06A8D" w:rsidRDefault="00F06A8D" w:rsidP="00EB2168">
      <w:r>
        <w:t>Йодное число по ГОСТ 2070</w:t>
      </w:r>
    </w:p>
    <w:p w:rsidR="00F06A8D" w:rsidRDefault="00F06A8D" w:rsidP="00EB2168">
      <w:proofErr w:type="spellStart"/>
      <w:r>
        <w:t>Термоокислительная</w:t>
      </w:r>
      <w:proofErr w:type="spellEnd"/>
      <w:r>
        <w:t xml:space="preserve"> стабильность в статических условиях по ГОСТ 11802</w:t>
      </w:r>
    </w:p>
    <w:p w:rsidR="00F06A8D" w:rsidRDefault="00F06A8D" w:rsidP="00EB2168">
      <w:r>
        <w:t>Зольность по ГОСТ 1461</w:t>
      </w:r>
    </w:p>
    <w:p w:rsidR="00F06A8D" w:rsidRPr="00CF2108" w:rsidRDefault="00F06A8D" w:rsidP="00EB2168">
      <w:r>
        <w:t>Массовая доля ароматических углеводородов по ГОСТ 6994</w:t>
      </w:r>
    </w:p>
    <w:p w:rsidR="00CA5BAD" w:rsidRPr="00CA5BAD" w:rsidRDefault="00CA5BAD" w:rsidP="00EB2168">
      <w:r>
        <w:t>Испытание на медной пластинке по ГОСТ 6321</w:t>
      </w:r>
    </w:p>
    <w:p w:rsidR="00EB2168" w:rsidRPr="00EB2168" w:rsidRDefault="00EB2168" w:rsidP="00EB2168">
      <w:pPr>
        <w:tabs>
          <w:tab w:val="left" w:pos="6190"/>
        </w:tabs>
        <w:jc w:val="both"/>
        <w:rPr>
          <w:b/>
          <w:u w:val="single"/>
        </w:rPr>
      </w:pPr>
      <w:r w:rsidRPr="00EB2168">
        <w:rPr>
          <w:b/>
          <w:u w:val="single"/>
        </w:rPr>
        <w:t>Мазут:</w:t>
      </w:r>
    </w:p>
    <w:p w:rsidR="00F06A8D" w:rsidRDefault="00F06A8D" w:rsidP="00EB2168">
      <w:r>
        <w:t>Состав и свойства мазута в части требований технического регламента</w:t>
      </w:r>
    </w:p>
    <w:p w:rsidR="00EB2168" w:rsidRDefault="00F06A8D" w:rsidP="00EB2168">
      <w:pPr>
        <w:tabs>
          <w:tab w:val="left" w:pos="6190"/>
        </w:tabs>
        <w:jc w:val="both"/>
      </w:pPr>
      <w:r>
        <w:t>Массовая доля воды по ГОСТ 2477</w:t>
      </w:r>
    </w:p>
    <w:p w:rsidR="00F06A8D" w:rsidRDefault="00F06A8D" w:rsidP="00EB2168">
      <w:pPr>
        <w:tabs>
          <w:tab w:val="left" w:pos="6190"/>
        </w:tabs>
        <w:jc w:val="both"/>
      </w:pPr>
      <w:r>
        <w:t>Зольность по ГОСТ 1461</w:t>
      </w:r>
    </w:p>
    <w:p w:rsidR="00F06A8D" w:rsidRDefault="00F06A8D" w:rsidP="00EB2168">
      <w:pPr>
        <w:tabs>
          <w:tab w:val="left" w:pos="6190"/>
        </w:tabs>
        <w:jc w:val="both"/>
      </w:pPr>
      <w:r>
        <w:t>Массовая доля механических примесей по ГОСТ 6370</w:t>
      </w:r>
    </w:p>
    <w:p w:rsidR="00F06A8D" w:rsidRDefault="00F06A8D" w:rsidP="00EB2168">
      <w:pPr>
        <w:tabs>
          <w:tab w:val="left" w:pos="6190"/>
        </w:tabs>
        <w:jc w:val="both"/>
      </w:pPr>
      <w:r>
        <w:t>Содержание ВКЩ по ГОСТ 6307</w:t>
      </w:r>
    </w:p>
    <w:p w:rsidR="00F06A8D" w:rsidRDefault="00F06A8D" w:rsidP="00EB2168">
      <w:pPr>
        <w:tabs>
          <w:tab w:val="left" w:pos="6190"/>
        </w:tabs>
        <w:jc w:val="both"/>
      </w:pPr>
      <w:r>
        <w:t>Температура застывания по ГОСТ 20287</w:t>
      </w:r>
    </w:p>
    <w:p w:rsidR="00CA5BAD" w:rsidRDefault="00CA5BAD" w:rsidP="00EB2168">
      <w:pPr>
        <w:tabs>
          <w:tab w:val="left" w:pos="6190"/>
        </w:tabs>
        <w:jc w:val="both"/>
      </w:pPr>
      <w:r>
        <w:t>Вязкость условная при 100</w:t>
      </w:r>
      <w:proofErr w:type="gramStart"/>
      <w:r>
        <w:t>°С</w:t>
      </w:r>
      <w:proofErr w:type="gramEnd"/>
      <w:r>
        <w:t xml:space="preserve"> по ГОСТ 6258</w:t>
      </w:r>
    </w:p>
    <w:p w:rsidR="00CA5BAD" w:rsidRDefault="00CA5BAD" w:rsidP="00EB2168">
      <w:pPr>
        <w:tabs>
          <w:tab w:val="left" w:pos="6190"/>
        </w:tabs>
        <w:jc w:val="both"/>
      </w:pPr>
      <w:r>
        <w:t>Теплота сгорания (низшая) по ГОСТ 21261</w:t>
      </w:r>
    </w:p>
    <w:p w:rsidR="00EB2168" w:rsidRPr="00EB2168" w:rsidRDefault="00F06A8D" w:rsidP="00EB2168">
      <w:pPr>
        <w:tabs>
          <w:tab w:val="left" w:pos="6190"/>
        </w:tabs>
        <w:jc w:val="both"/>
        <w:rPr>
          <w:b/>
          <w:u w:val="single"/>
        </w:rPr>
      </w:pPr>
      <w:r>
        <w:rPr>
          <w:b/>
          <w:u w:val="single"/>
        </w:rPr>
        <w:t>Масло</w:t>
      </w:r>
      <w:r w:rsidR="00EB2168" w:rsidRPr="00EB2168">
        <w:rPr>
          <w:b/>
          <w:u w:val="single"/>
        </w:rPr>
        <w:t xml:space="preserve"> </w:t>
      </w:r>
      <w:r>
        <w:rPr>
          <w:b/>
          <w:u w:val="single"/>
        </w:rPr>
        <w:t>индустриальное</w:t>
      </w:r>
      <w:r w:rsidR="00EB2168" w:rsidRPr="00EB2168">
        <w:rPr>
          <w:b/>
          <w:u w:val="single"/>
        </w:rPr>
        <w:t>:</w:t>
      </w:r>
    </w:p>
    <w:p w:rsidR="00F06A8D" w:rsidRDefault="00F06A8D" w:rsidP="00EB2168">
      <w:pPr>
        <w:jc w:val="both"/>
      </w:pPr>
      <w:r>
        <w:t xml:space="preserve">Состав и свойства масла индустриального в части требований технического регламента </w:t>
      </w:r>
      <w:proofErr w:type="gramStart"/>
      <w:r>
        <w:t>ТР</w:t>
      </w:r>
      <w:proofErr w:type="gramEnd"/>
      <w:r>
        <w:t xml:space="preserve"> ТС 030/2012</w:t>
      </w:r>
    </w:p>
    <w:p w:rsidR="00F06A8D" w:rsidRPr="00F06A8D" w:rsidRDefault="00F06A8D" w:rsidP="00EB2168">
      <w:pPr>
        <w:jc w:val="both"/>
        <w:rPr>
          <w:b/>
          <w:u w:val="single"/>
        </w:rPr>
      </w:pPr>
      <w:r w:rsidRPr="00F06A8D">
        <w:rPr>
          <w:b/>
          <w:u w:val="single"/>
        </w:rPr>
        <w:t>Масло турбинное</w:t>
      </w:r>
    </w:p>
    <w:p w:rsidR="00F06A8D" w:rsidRDefault="00F06A8D" w:rsidP="00EB2168">
      <w:pPr>
        <w:jc w:val="both"/>
      </w:pPr>
      <w:r>
        <w:t>Кислотное число по ГОСТ 11362 (ручное титрование)</w:t>
      </w:r>
    </w:p>
    <w:p w:rsidR="00F06A8D" w:rsidRDefault="00F06A8D" w:rsidP="00EB2168">
      <w:pPr>
        <w:jc w:val="both"/>
      </w:pPr>
      <w:r>
        <w:t>Цвет на колориметре ЦНТ по ГОСТ 20284</w:t>
      </w:r>
    </w:p>
    <w:p w:rsidR="00F06A8D" w:rsidRPr="00F06A8D" w:rsidRDefault="00F06A8D" w:rsidP="00EB2168">
      <w:pPr>
        <w:jc w:val="both"/>
        <w:rPr>
          <w:b/>
          <w:u w:val="single"/>
        </w:rPr>
      </w:pPr>
      <w:r w:rsidRPr="00F06A8D">
        <w:rPr>
          <w:b/>
          <w:u w:val="single"/>
        </w:rPr>
        <w:t>Масло моторное</w:t>
      </w:r>
    </w:p>
    <w:p w:rsidR="00F06A8D" w:rsidRDefault="00F06A8D" w:rsidP="00EB2168">
      <w:pPr>
        <w:jc w:val="both"/>
      </w:pPr>
      <w:r>
        <w:t>Массовая доля фосфора по ГОСТ 9827</w:t>
      </w:r>
    </w:p>
    <w:p w:rsidR="00F06A8D" w:rsidRDefault="00F06A8D" w:rsidP="00EB2168">
      <w:pPr>
        <w:jc w:val="both"/>
      </w:pPr>
      <w:r>
        <w:t>Плотность при 15</w:t>
      </w:r>
      <w:proofErr w:type="gramStart"/>
      <w:r>
        <w:t>°С</w:t>
      </w:r>
      <w:proofErr w:type="gramEnd"/>
      <w:r>
        <w:t xml:space="preserve"> по ГОСТ 51069</w:t>
      </w:r>
    </w:p>
    <w:p w:rsidR="00F06A8D" w:rsidRPr="00CA5BAD" w:rsidRDefault="00CA5BAD" w:rsidP="00EB2168">
      <w:pPr>
        <w:jc w:val="both"/>
        <w:rPr>
          <w:b/>
          <w:u w:val="single"/>
        </w:rPr>
      </w:pPr>
      <w:r w:rsidRPr="00CA5BAD">
        <w:rPr>
          <w:b/>
          <w:u w:val="single"/>
        </w:rPr>
        <w:t>Масло компрессорное</w:t>
      </w:r>
    </w:p>
    <w:p w:rsidR="00CA5BAD" w:rsidRDefault="00CA5BAD" w:rsidP="00EB2168">
      <w:pPr>
        <w:jc w:val="both"/>
      </w:pPr>
      <w:r>
        <w:t>Коксуемость по ГОСТ 19932</w:t>
      </w:r>
    </w:p>
    <w:p w:rsidR="00CA5BAD" w:rsidRDefault="00CA5BAD" w:rsidP="00EB2168">
      <w:pPr>
        <w:jc w:val="both"/>
      </w:pPr>
      <w:r>
        <w:t xml:space="preserve">Массовая доля серы по ГОСТ </w:t>
      </w:r>
      <w:proofErr w:type="gramStart"/>
      <w:r>
        <w:t>Р</w:t>
      </w:r>
      <w:proofErr w:type="gramEnd"/>
      <w:r>
        <w:t xml:space="preserve"> 51947</w:t>
      </w:r>
    </w:p>
    <w:p w:rsidR="00CA5BAD" w:rsidRDefault="00CA5BAD" w:rsidP="00EB2168">
      <w:pPr>
        <w:jc w:val="both"/>
      </w:pPr>
      <w:r>
        <w:t>Массовая доля серы по ГОСТ 1437</w:t>
      </w:r>
    </w:p>
    <w:p w:rsidR="00CA5BAD" w:rsidRPr="00CA5BAD" w:rsidRDefault="00CA5BAD" w:rsidP="00EB2168">
      <w:pPr>
        <w:jc w:val="both"/>
        <w:rPr>
          <w:b/>
          <w:u w:val="single"/>
        </w:rPr>
      </w:pPr>
      <w:r w:rsidRPr="00CA5BAD">
        <w:rPr>
          <w:b/>
          <w:u w:val="single"/>
        </w:rPr>
        <w:t>Масло базовое</w:t>
      </w:r>
    </w:p>
    <w:p w:rsidR="00CA5BAD" w:rsidRPr="00CA5BAD" w:rsidRDefault="00CA5BAD" w:rsidP="00EB2168">
      <w:pPr>
        <w:jc w:val="both"/>
      </w:pPr>
      <w:r>
        <w:t xml:space="preserve">Плотность по </w:t>
      </w:r>
      <w:r>
        <w:rPr>
          <w:lang w:val="en-US"/>
        </w:rPr>
        <w:t>ASTM</w:t>
      </w:r>
      <w:r w:rsidRPr="00CA5BAD">
        <w:t xml:space="preserve"> </w:t>
      </w:r>
      <w:r>
        <w:rPr>
          <w:lang w:val="en-US"/>
        </w:rPr>
        <w:t>D</w:t>
      </w:r>
      <w:r w:rsidRPr="00CA5BAD">
        <w:t xml:space="preserve"> 4052</w:t>
      </w:r>
    </w:p>
    <w:p w:rsidR="00CA5BAD" w:rsidRDefault="00CA5BAD" w:rsidP="00EB2168">
      <w:pPr>
        <w:jc w:val="both"/>
      </w:pPr>
      <w:r>
        <w:t xml:space="preserve">Потери при испарении по </w:t>
      </w:r>
      <w:r>
        <w:rPr>
          <w:lang w:val="en-US"/>
        </w:rPr>
        <w:t>ASTM</w:t>
      </w:r>
      <w:r w:rsidRPr="00CA5BAD">
        <w:t xml:space="preserve"> </w:t>
      </w:r>
      <w:r>
        <w:rPr>
          <w:lang w:val="en-US"/>
        </w:rPr>
        <w:t>D</w:t>
      </w:r>
      <w:r w:rsidRPr="00CA5BAD">
        <w:t xml:space="preserve"> 5800</w:t>
      </w:r>
    </w:p>
    <w:p w:rsidR="00CA5BAD" w:rsidRPr="00CA5BAD" w:rsidRDefault="00CA5BAD" w:rsidP="00EB2168">
      <w:pPr>
        <w:jc w:val="both"/>
        <w:rPr>
          <w:b/>
          <w:u w:val="single"/>
        </w:rPr>
      </w:pPr>
      <w:r w:rsidRPr="00CA5BAD">
        <w:rPr>
          <w:b/>
          <w:u w:val="single"/>
        </w:rPr>
        <w:t>Битум</w:t>
      </w:r>
    </w:p>
    <w:p w:rsidR="00CA5BAD" w:rsidRDefault="00CA5BAD" w:rsidP="00EB2168">
      <w:pPr>
        <w:jc w:val="both"/>
      </w:pPr>
      <w:r>
        <w:t>Растяжимость при 25</w:t>
      </w:r>
      <w:proofErr w:type="gramStart"/>
      <w:r>
        <w:t>°С</w:t>
      </w:r>
      <w:proofErr w:type="gramEnd"/>
      <w:r>
        <w:t xml:space="preserve"> по ГОСТ 11505, ГОСТ 33138</w:t>
      </w:r>
    </w:p>
    <w:p w:rsidR="00CA5BAD" w:rsidRDefault="00CA5BAD" w:rsidP="00EB2168">
      <w:pPr>
        <w:jc w:val="both"/>
      </w:pPr>
      <w:r>
        <w:t>Температура размягчения по Кольцу и шару по ГОСТ 11506, ГОСТ 33142</w:t>
      </w:r>
    </w:p>
    <w:p w:rsidR="00CA5BAD" w:rsidRDefault="00CA5BAD" w:rsidP="00EB2168">
      <w:pPr>
        <w:jc w:val="both"/>
      </w:pPr>
      <w:r>
        <w:t xml:space="preserve">Температура хрупкости по </w:t>
      </w:r>
      <w:proofErr w:type="spellStart"/>
      <w:r>
        <w:t>Фраасу</w:t>
      </w:r>
      <w:proofErr w:type="spellEnd"/>
      <w:r>
        <w:t xml:space="preserve"> по ГОСТ 11507, ГОСТ 33143</w:t>
      </w:r>
    </w:p>
    <w:p w:rsidR="00CA5BAD" w:rsidRPr="00CA5BAD" w:rsidRDefault="00CA5BAD" w:rsidP="00EB2168">
      <w:pPr>
        <w:jc w:val="both"/>
      </w:pPr>
      <w:r>
        <w:t>Глубина проникания иглы по ГОСТ 11501, ГОСТ 33136</w:t>
      </w:r>
    </w:p>
    <w:p w:rsidR="00CF2108" w:rsidRDefault="002E3F8B" w:rsidP="007A2FA1">
      <w:pPr>
        <w:tabs>
          <w:tab w:val="left" w:pos="709"/>
        </w:tabs>
        <w:jc w:val="both"/>
      </w:pPr>
      <w:r>
        <w:tab/>
      </w:r>
    </w:p>
    <w:p w:rsidR="00EB2168" w:rsidRPr="004F0EB6" w:rsidRDefault="00CF2108" w:rsidP="007A2FA1">
      <w:pPr>
        <w:tabs>
          <w:tab w:val="left" w:pos="709"/>
        </w:tabs>
        <w:jc w:val="both"/>
      </w:pPr>
      <w:r>
        <w:tab/>
      </w:r>
      <w:r w:rsidR="002E3F8B">
        <w:t>7</w:t>
      </w:r>
      <w:r w:rsidR="007A2FA1">
        <w:t>.</w:t>
      </w:r>
      <w:r w:rsidR="004F0EB6" w:rsidRPr="004F0EB6">
        <w:t xml:space="preserve">Оформление результатов по итогам проверки </w:t>
      </w:r>
      <w:r w:rsidR="007A2FA1">
        <w:t>квалификации.</w:t>
      </w:r>
    </w:p>
    <w:p w:rsidR="007A2FA1" w:rsidRDefault="007A2FA1" w:rsidP="004F0EB6">
      <w:pPr>
        <w:jc w:val="both"/>
      </w:pPr>
      <w:r>
        <w:t>По окончании выдаются:</w:t>
      </w:r>
    </w:p>
    <w:p w:rsidR="004F0EB6" w:rsidRPr="004F0EB6" w:rsidRDefault="007A2FA1" w:rsidP="004F0EB6">
      <w:pPr>
        <w:jc w:val="both"/>
      </w:pPr>
      <w:r>
        <w:t xml:space="preserve">- </w:t>
      </w:r>
      <w:r w:rsidR="004F0EB6" w:rsidRPr="004F0EB6">
        <w:t>Свидетельство об участии в МСИ с указанием подтверждения измерительных возможностей</w:t>
      </w:r>
      <w:r w:rsidR="004F0EB6">
        <w:t>.</w:t>
      </w:r>
    </w:p>
    <w:p w:rsidR="004F0EB6" w:rsidRPr="004F0EB6" w:rsidRDefault="007A2FA1" w:rsidP="004F0EB6">
      <w:pPr>
        <w:jc w:val="both"/>
      </w:pPr>
      <w:r>
        <w:t>-</w:t>
      </w:r>
      <w:r w:rsidR="004F0EB6" w:rsidRPr="004F0EB6">
        <w:t>Заключение по итогам проверки квалификации лаборатории</w:t>
      </w:r>
      <w:r w:rsidR="004F0EB6">
        <w:t>.</w:t>
      </w:r>
    </w:p>
    <w:p w:rsidR="004F0EB6" w:rsidRPr="004F0EB6" w:rsidRDefault="007A2FA1" w:rsidP="004F0EB6">
      <w:pPr>
        <w:tabs>
          <w:tab w:val="left" w:pos="6190"/>
        </w:tabs>
        <w:jc w:val="both"/>
      </w:pPr>
      <w:r>
        <w:t>-</w:t>
      </w:r>
      <w:r w:rsidR="004F0EB6" w:rsidRPr="004F0EB6">
        <w:t>Сводная информация о результатах испытаний всех лабораторий</w:t>
      </w:r>
      <w:r w:rsidR="00CF2108">
        <w:t xml:space="preserve"> (без наименований).</w:t>
      </w:r>
    </w:p>
    <w:p w:rsidR="004F0EB6" w:rsidRDefault="004F0EB6" w:rsidP="00CF6DEC">
      <w:pPr>
        <w:jc w:val="both"/>
        <w:rPr>
          <w:sz w:val="22"/>
          <w:szCs w:val="22"/>
        </w:rPr>
      </w:pPr>
    </w:p>
    <w:p w:rsidR="00CF6DEC" w:rsidRPr="00BD26E6" w:rsidRDefault="00CF6DEC" w:rsidP="00CF6DEC">
      <w:pPr>
        <w:jc w:val="both"/>
      </w:pPr>
      <w:r w:rsidRPr="00BD26E6">
        <w:t xml:space="preserve">ИСПОЛНИТЕЛЬ                                       </w:t>
      </w:r>
      <w:r w:rsidR="00B367F1">
        <w:t xml:space="preserve">              </w:t>
      </w:r>
      <w:r w:rsidRPr="00BD26E6">
        <w:t>ЗАКАЗЧИК</w:t>
      </w:r>
    </w:p>
    <w:p w:rsidR="00CF6DEC" w:rsidRPr="00BD26E6" w:rsidRDefault="00C774E1" w:rsidP="00CF6DEC">
      <w:pPr>
        <w:ind w:left="4253" w:hanging="4253"/>
        <w:jc w:val="both"/>
      </w:pPr>
      <w:r>
        <w:t>Генеральный директор</w:t>
      </w:r>
      <w:r w:rsidR="00051AF5" w:rsidRPr="00BD26E6">
        <w:tab/>
      </w:r>
      <w:r w:rsidR="00051AF5" w:rsidRPr="00BD26E6">
        <w:tab/>
        <w:t>Генеральный директор</w:t>
      </w:r>
    </w:p>
    <w:p w:rsidR="00CF6DEC" w:rsidRPr="00BD26E6" w:rsidRDefault="00051AF5" w:rsidP="00CF6DEC">
      <w:pPr>
        <w:ind w:left="4253" w:hanging="4253"/>
        <w:jc w:val="both"/>
      </w:pPr>
      <w:r w:rsidRPr="00BD26E6">
        <w:tab/>
      </w:r>
      <w:r w:rsidRPr="00BD26E6">
        <w:tab/>
      </w:r>
      <w:r w:rsidR="00CF6DEC" w:rsidRPr="00BD26E6">
        <w:t>ОАО «</w:t>
      </w:r>
      <w:proofErr w:type="spellStart"/>
      <w:r w:rsidR="00CF6DEC" w:rsidRPr="00BD26E6">
        <w:t>Славнефть</w:t>
      </w:r>
      <w:proofErr w:type="spellEnd"/>
      <w:r w:rsidR="00CF6DEC" w:rsidRPr="00BD26E6">
        <w:t>-ЯНОС»</w:t>
      </w:r>
    </w:p>
    <w:p w:rsidR="00051AF5" w:rsidRPr="00BD26E6" w:rsidRDefault="00051AF5" w:rsidP="00CF6DEC">
      <w:pPr>
        <w:ind w:left="4253" w:hanging="4253"/>
        <w:jc w:val="both"/>
      </w:pPr>
    </w:p>
    <w:p w:rsidR="00CF6DEC" w:rsidRPr="00BD26E6" w:rsidRDefault="00C774E1" w:rsidP="00C774E1">
      <w:pPr>
        <w:jc w:val="both"/>
      </w:pPr>
      <w:r>
        <w:t>_________________</w:t>
      </w:r>
      <w:r w:rsidR="002E3F8B">
        <w:tab/>
      </w:r>
      <w:r w:rsidR="002E3F8B">
        <w:tab/>
      </w:r>
      <w:r w:rsidR="002E3F8B">
        <w:tab/>
      </w:r>
      <w:r w:rsidR="00051AF5" w:rsidRPr="00BD26E6">
        <w:tab/>
      </w:r>
      <w:r>
        <w:t xml:space="preserve">              </w:t>
      </w:r>
      <w:r w:rsidR="00FA6E6E">
        <w:t>_______________</w:t>
      </w:r>
      <w:r>
        <w:t xml:space="preserve"> </w:t>
      </w:r>
      <w:proofErr w:type="spellStart"/>
      <w:r w:rsidR="00051AF5" w:rsidRPr="00BD26E6">
        <w:t>Н.В.Карпов</w:t>
      </w:r>
      <w:proofErr w:type="spellEnd"/>
    </w:p>
    <w:p w:rsidR="00CF6DEC" w:rsidRPr="00BD26E6" w:rsidRDefault="00C774E1" w:rsidP="006A161B">
      <w:pPr>
        <w:ind w:left="4253" w:hanging="4253"/>
        <w:jc w:val="both"/>
      </w:pPr>
      <w:r>
        <w:t>«____»______________ 2017 г.</w:t>
      </w:r>
      <w:r w:rsidR="00051AF5" w:rsidRPr="00BD26E6">
        <w:tab/>
      </w:r>
      <w:r w:rsidR="00051AF5" w:rsidRPr="00BD26E6">
        <w:tab/>
      </w:r>
      <w:r w:rsidR="00CF6DEC" w:rsidRPr="00BD26E6">
        <w:t>«___</w:t>
      </w:r>
      <w:r w:rsidR="00FA6E6E">
        <w:t>__»_____________</w:t>
      </w:r>
      <w:r w:rsidR="00CF6DEC" w:rsidRPr="00BD26E6">
        <w:t>20</w:t>
      </w:r>
      <w:r>
        <w:t xml:space="preserve">17 </w:t>
      </w:r>
      <w:r w:rsidR="00CF6DEC" w:rsidRPr="00BD26E6">
        <w:t>г.</w:t>
      </w:r>
    </w:p>
    <w:sectPr w:rsidR="00CF6DEC" w:rsidRPr="00BD26E6" w:rsidSect="002E3F8B">
      <w:pgSz w:w="11906" w:h="16838"/>
      <w:pgMar w:top="1134" w:right="56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931" w:rsidRDefault="00CE1931" w:rsidP="0096444F">
      <w:r>
        <w:separator/>
      </w:r>
    </w:p>
  </w:endnote>
  <w:endnote w:type="continuationSeparator" w:id="0">
    <w:p w:rsidR="00CE1931" w:rsidRDefault="00CE1931" w:rsidP="00964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931" w:rsidRDefault="00CE1931" w:rsidP="0096444F">
      <w:r>
        <w:separator/>
      </w:r>
    </w:p>
  </w:footnote>
  <w:footnote w:type="continuationSeparator" w:id="0">
    <w:p w:rsidR="00CE1931" w:rsidRDefault="00CE1931" w:rsidP="00964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263C"/>
    <w:multiLevelType w:val="hybridMultilevel"/>
    <w:tmpl w:val="DAE2C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75856"/>
    <w:multiLevelType w:val="singleLevel"/>
    <w:tmpl w:val="19C84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1138"/>
    <w:rsid w:val="000126D0"/>
    <w:rsid w:val="000246FE"/>
    <w:rsid w:val="00051AF5"/>
    <w:rsid w:val="00080241"/>
    <w:rsid w:val="000A1BA1"/>
    <w:rsid w:val="000A2413"/>
    <w:rsid w:val="000B58B1"/>
    <w:rsid w:val="000B5B1C"/>
    <w:rsid w:val="000F1561"/>
    <w:rsid w:val="00100A34"/>
    <w:rsid w:val="0014045C"/>
    <w:rsid w:val="001F2696"/>
    <w:rsid w:val="00203CC9"/>
    <w:rsid w:val="002E3F8B"/>
    <w:rsid w:val="0033484F"/>
    <w:rsid w:val="00362251"/>
    <w:rsid w:val="00377A79"/>
    <w:rsid w:val="003D1D7D"/>
    <w:rsid w:val="003D492F"/>
    <w:rsid w:val="00451141"/>
    <w:rsid w:val="004D25C2"/>
    <w:rsid w:val="004F0EB6"/>
    <w:rsid w:val="004F1348"/>
    <w:rsid w:val="005A0955"/>
    <w:rsid w:val="005D3994"/>
    <w:rsid w:val="006147D8"/>
    <w:rsid w:val="00690525"/>
    <w:rsid w:val="006A161B"/>
    <w:rsid w:val="006D7DCF"/>
    <w:rsid w:val="0071365A"/>
    <w:rsid w:val="00714556"/>
    <w:rsid w:val="007236F3"/>
    <w:rsid w:val="00762948"/>
    <w:rsid w:val="007856DC"/>
    <w:rsid w:val="007A2FA1"/>
    <w:rsid w:val="007B7202"/>
    <w:rsid w:val="007D7779"/>
    <w:rsid w:val="008063B5"/>
    <w:rsid w:val="008F0BEC"/>
    <w:rsid w:val="00902B14"/>
    <w:rsid w:val="00946F5E"/>
    <w:rsid w:val="00952758"/>
    <w:rsid w:val="0096444F"/>
    <w:rsid w:val="00970B70"/>
    <w:rsid w:val="0097644A"/>
    <w:rsid w:val="00A51138"/>
    <w:rsid w:val="00A557FE"/>
    <w:rsid w:val="00A61957"/>
    <w:rsid w:val="00B22DF8"/>
    <w:rsid w:val="00B367F1"/>
    <w:rsid w:val="00BD26E6"/>
    <w:rsid w:val="00BD5A3E"/>
    <w:rsid w:val="00C774E1"/>
    <w:rsid w:val="00CA5BAD"/>
    <w:rsid w:val="00CE1931"/>
    <w:rsid w:val="00CF2108"/>
    <w:rsid w:val="00CF6DEC"/>
    <w:rsid w:val="00D5627F"/>
    <w:rsid w:val="00D96470"/>
    <w:rsid w:val="00DD08AD"/>
    <w:rsid w:val="00DF6BAF"/>
    <w:rsid w:val="00E008C2"/>
    <w:rsid w:val="00E361AA"/>
    <w:rsid w:val="00E47CE2"/>
    <w:rsid w:val="00E743F0"/>
    <w:rsid w:val="00EB2168"/>
    <w:rsid w:val="00EE37EC"/>
    <w:rsid w:val="00EF6469"/>
    <w:rsid w:val="00F06A8D"/>
    <w:rsid w:val="00FA6E6E"/>
    <w:rsid w:val="00FC4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44F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6444F"/>
  </w:style>
  <w:style w:type="paragraph" w:styleId="a5">
    <w:name w:val="footer"/>
    <w:basedOn w:val="a"/>
    <w:link w:val="a6"/>
    <w:uiPriority w:val="99"/>
    <w:unhideWhenUsed/>
    <w:rsid w:val="0096444F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6444F"/>
  </w:style>
  <w:style w:type="paragraph" w:styleId="a7">
    <w:name w:val="List Paragraph"/>
    <w:basedOn w:val="a"/>
    <w:uiPriority w:val="34"/>
    <w:qFormat/>
    <w:rsid w:val="00DD08AD"/>
    <w:pPr>
      <w:ind w:left="720"/>
      <w:contextualSpacing/>
    </w:pPr>
    <w:rPr>
      <w:rFonts w:ascii="NewtonCTT" w:hAnsi="NewtonCTT"/>
      <w:sz w:val="20"/>
      <w:szCs w:val="20"/>
    </w:rPr>
  </w:style>
  <w:style w:type="paragraph" w:styleId="a8">
    <w:name w:val="No Spacing"/>
    <w:uiPriority w:val="1"/>
    <w:qFormat/>
    <w:rsid w:val="000B58B1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905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6905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15C7D-926E-4E37-929E-F380F160E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Елена Олеговна</dc:creator>
  <cp:lastModifiedBy>Дудина Марина Петровна</cp:lastModifiedBy>
  <cp:revision>6</cp:revision>
  <cp:lastPrinted>2018-03-26T10:04:00Z</cp:lastPrinted>
  <dcterms:created xsi:type="dcterms:W3CDTF">2018-03-26T10:06:00Z</dcterms:created>
  <dcterms:modified xsi:type="dcterms:W3CDTF">2018-03-26T11:17:00Z</dcterms:modified>
</cp:coreProperties>
</file>